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CA-18100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防制洗錢作業(含國際證券業務)</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配合洗錢防制法將原第十五條之二變更條次為第二十二條，暨依據114年5月1日法務部法令字第11304548970號令、金融監督管理委員會金管銀法字第11302743931號令、數位發展部數授產經字第11400004261號令修正名稱。
另配合證券商設置標準修訂，開放證券商得設置簡易分支機構或將一般分支機構變更為簡易分支機構，爰修正之。</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防制洗錢及打擊資恐內部控制制度：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防制洗錢及打擊資恐內部控制制度：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公司相關內部控制制度應經董事會通過，且內容包括對洗錢及資恐風險進行辨識、評估、管理之相關政策及程序，及依風險評估結果暨業務規模訂定計畫等。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公司相關內部控制制度應經董事會通過，且內容包括對洗錢及資恐風險進行辨識、評估、管理之相關政策及程序，及依風險評估結果暨業務規模訂定計畫等。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有關洗錢及資恐風險之辨識、評估與管理，應至少涵蓋客戶、地域、產品及服務、交易或支付管道等面向，並應製作風險評估報告，送主管機關備查。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有關洗錢及資恐風險之辨識、評估與管理，應至少涵蓋客戶、地域、產品及服務、交易或支付管道等面向，並應製作風險評估報告，送主管機關備查。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有關防制洗錢及打擊資恐計畫，應包括確認客戶身分、客戶及交易有關對象之姓名及名稱檢核、帳戶及交易之持續監控、紀錄保存、一定金額以上通貨交易申報等之政策、程序及控管機制。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有關防制洗錢及打擊資恐計畫，應包括確認客戶身分、客戶及交易有關對象之姓名及名稱檢核、帳戶及交易之持續監控、紀錄保存、一定金額以上通貨交易申報等之政策、程序及控管機制。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風險辨識與控管措施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風險辨識與控管措施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公司應依業務性質及規模、產品與服務複雜程度、分支機構</w:t>
            </w:r>
            <w:r>
              <w:rPr>
                <w:rFonts w:hint="eastAsia" w:ascii="新細明體" w:hAnsi="新細明體" w:eastAsia="新細明體" w:cs="新細明體"/>
                <w:b/>
                <w:u w:val="single"/>
                <w:color w:val="FF0000 "/>
              </w:rPr>
              <w:t>及簡易分支機構</w:t>
            </w:r>
            <w:r>
              <w:rPr>
                <w:rFonts w:hint="eastAsia" w:ascii="新細明體" w:hAnsi="新細明體" w:eastAsia="新細明體" w:cs="新細明體"/>
              </w:rPr>
              <w:t>提供之服務範圍、客戶組成等相關因素，以識別、評估其洗錢及資恐風險，並至少訂定地域、客戶、產品及服務、交易或支付管道等具體風險評估項目。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公司應依業務性質及規模、產品與服務複雜程度、分支機構提供之服務範圍、客戶組成等相關因素，以識別、評估其洗錢及資恐風險，並至少訂定地域、客戶、產品及服務、交易或支付管道等具體風險評估項目。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確認客戶身分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確認客戶身分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於客戶疑似使用人頭、虛設行號、查證代理人之事實及身分資料有困難等異常情形，客戶無法提出合理說明等情形者，應婉拒建立業務關係或交易。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於客戶疑似使用人頭、虛設行號、查證代理人之事實及身分資料有困難等異常情形，客戶無法提出合理說明等情形者，應婉拒建立業務關係或交易。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應依規定於適當時機、採取適當措施確認客戶身分，且運用適當之風險管理機制確認客戶及其實質受益人、高階管理人員身分。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應依規定於適當時機、採取適當措施確認客戶身分，且運用適當之風險管理機制確認客戶及其實質受益人、高階管理人員身分。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於完成確認客戶身分前，未與客戶建立業務關係或進行臨時性交易，但符合相關情形者，不在此限。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於完成確認客戶身分前，未與客戶建立業務關係或進行臨時性交易，但符合相關情形者，不在此限。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應針對辨識為高風險或具特定高風險因子之客戶加強客戶審查措施，且在建立或新增業務往來關係前，依公司內部風險考量，所訂核准層級之高階管理人員同意。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應針對辨識為高風險或具特定高風險因子之客戶加強客戶審查措施，且在建立或新增業務往來關係前，依公司內部風險考量，所訂核准層級之高階管理人員同意。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依「洗錢防制法第</w:t>
            </w:r>
            <w:r>
              <w:rPr>
                <w:rFonts w:hint="eastAsia" w:ascii="新細明體" w:hAnsi="新細明體" w:eastAsia="新細明體" w:cs="新細明體"/>
                <w:b/>
                <w:u w:val="single"/>
                <w:color w:val="FF0000 "/>
              </w:rPr>
              <w:t>二</w:t>
            </w:r>
            <w:r>
              <w:rPr>
                <w:rFonts w:hint="eastAsia" w:ascii="新細明體" w:hAnsi="新細明體" w:eastAsia="新細明體" w:cs="新細明體"/>
              </w:rPr>
              <w:t>十</w:t>
            </w:r>
            <w:r>
              <w:rPr>
                <w:rFonts w:hint="eastAsia" w:ascii="新細明體" w:hAnsi="新細明體" w:eastAsia="新細明體" w:cs="新細明體"/>
                <w:b/>
                <w:u w:val="single"/>
                <w:color w:val="FF0000 "/>
              </w:rPr>
              <w:t>二</w:t>
            </w:r>
            <w:r>
              <w:rPr>
                <w:rFonts w:hint="eastAsia" w:ascii="新細明體" w:hAnsi="新細明體" w:eastAsia="新細明體" w:cs="新細明體"/>
              </w:rPr>
              <w:t>條第六項帳戶帳號暫停限制功能或逕予關閉管理辦法」第9條規定，應將內政部警政署「洗錢防制帳戶裁處告誡系統」之告誡戶視為高風險客戶，進行加強確認客戶身分及持續審查措施。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依「洗錢防制法第十</w:t>
            </w:r>
            <w:r>
              <w:rPr>
                <w:rFonts w:hint="eastAsia" w:ascii="新細明體" w:hAnsi="新細明體" w:eastAsia="新細明體" w:cs="新細明體"/>
                <w:b/>
                <w:color w:val="FF0000 "/>
              </w:rPr>
              <w:t>五</w:t>
            </w:r>
            <w:r>
              <w:rPr>
                <w:rFonts w:hint="eastAsia" w:ascii="新細明體" w:hAnsi="新細明體" w:eastAsia="新細明體" w:cs="新細明體"/>
              </w:rPr>
              <w:t>條</w:t>
            </w:r>
            <w:r>
              <w:rPr>
                <w:rFonts w:hint="eastAsia" w:ascii="新細明體" w:hAnsi="新細明體" w:eastAsia="新細明體" w:cs="新細明體"/>
                <w:b/>
                <w:color w:val="FF0000 "/>
              </w:rPr>
              <w:t>之二</w:t>
            </w:r>
            <w:r>
              <w:rPr>
                <w:rFonts w:hint="eastAsia" w:ascii="新細明體" w:hAnsi="新細明體" w:eastAsia="新細明體" w:cs="新細明體"/>
              </w:rPr>
              <w:t>第六項帳戶帳號暫停限制功能或逕予關閉管理辦法」第9條規定，應將內政部警政署「洗錢防制帳戶裁處告誡系統」之告誡戶視為高風險客戶，進行加強確認客戶身分及持續審查措施。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疑似洗錢或資恐交易態樣之辨別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疑似洗錢或資恐交易態樣之辨別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應依公司本身資產規模、地域分布、業務特點、客群性質及交易特徵，並參照內部之洗錢及資恐風險評估或日常資訊等，就券商公會訂定之疑似洗錢或資恐交易態樣中選擇或自行發展契合本身之態樣。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應依公司本身資產規模、地域分布、業務特點、客群性質及交易特徵，並參照內部之洗錢及資恐風險評估或日常資訊等，就券商公會訂定之疑似洗錢或資恐交易態樣中選擇或自行發展契合本身之態樣。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持續審查與監控</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持續審查與監控</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對於已確定風險等級之既有客戶，應依客戶重要性及風險程度，對現有客戶身分資料進行審查，並在適當時間對已存在之往來關係進行審查及適時調整風險等級。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對於已確定風險等級之既有客戶，應依客戶重要性及風險程度，對現有客戶身分資料進行審查，並在適當時間對已存在之往來關係進行審查及適時調整風險等級。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定期檢視其辨識客戶及實質受益人身分所取得之資訊是否足夠，並確保該等資訊之更新。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定期檢視其辨識客戶及實質受益人身分所取得之資訊是否足夠，並確保該等資訊之更新。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就辨識為高風險之客戶，應至少每年檢視一次，就具特定高風險因子之客戶應增加進行客戶之審查頻率。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就辨識為高風險之客戶，應至少每年檢視一次，就具特定高風險因子之客戶應增加進行客戶之審查頻率。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應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應以風險基礎方法，建立帳戶及交易監控政策與程序(應至少包括完整之監控型態、參數設定、金額門檻、預警案件與監控案件之執行程序、監控案件之檢視程序及申報標準)，並利用資訊系統，輔助發現疑似洗錢或資恐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針對高風險客戶與具特定高風險因子之客戶之業務往來關係採取強化之持續監督。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針對高風險客戶與具特定高風險因子之客戶之業務往來關係採取強化之持續監督。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疑似洗錢或資恐交易之申報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疑似洗錢或資恐交易之申報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對於發現異常交易，各單位承辦人員應即陳報督導主管。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對於發現異常交易，各單位承辦人員應即陳報督導主管。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申報書經單位主管核定並轉送專責主管核定後，即向法務部調查局申報，核定後之申報期限不得逾二個營業日，且應於會計年度終了後15日內將上一年度所申報之態樣項目及其件數，函報目的事業主管機關備查，並副知證交所及證券商公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申報書經單位主管核定並轉送專責主管核定後，即向法務部調查局申報，核定後之申報期限不得逾二個營業日，且應於會計年度終了後15日內將上一年度所申報之態樣項目及其件數，函報目的事業主管機關備查，並副知證交所及證券商公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對屬明顯重大緊急之疑似洗錢或資恐交易之申報，應立即以傳真或其它可行方式儘速向法務部調查局申報，並立即補辦書面資料。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對屬明顯重大緊急之疑似洗錢或資恐交易之申報，應立即以傳真或其它可行方式儘速向法務部調查局申報，並立即補辦書面資料。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達定金額以上之通貨交易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達定金額以上之通貨交易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於辦理相關業務如有發生一定金額以上之通貨交易(係指新臺幣五十萬元(含等值外幣)以上之單筆現金收或付(在會計處理上，凡以現金收支傳票記帳者皆屬之)或換鈔交易)時，應確認客戶身分並留存相關紀錄憑證，並應於交易完成後五個營業日內向法務部調查局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於辦理相關業務如有發生一定金額以上之通貨交易(係指新臺幣五十萬元(含等值外幣)以上之單筆現金收或付(在會計處理上，凡以現金收支傳票記帳者皆屬之)或換鈔交易)時，應確認客戶身分並留存相關紀錄憑證，並應於交易完成後五個營業日內向法務部調查局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相關資料之保存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相關資料之保存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對於國內外交易之所有必要紀錄，應至少保存5年(但法律另有較長保存期間規定者，從其規定)，且應包括進行交易的各方姓名或帳號、交易日期與貨幣種類及金額。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對於國內外交易之所有必要紀錄，應至少保存5年(但法律另有較長保存期間規定者，從其規定)，且應包括進行交易的各方姓名或帳號、交易日期與貨幣種類及金額。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所保存之交易紀錄應足以重建個別交易。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所保存之交易紀錄應足以重建個別交易。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對一定金額以上大額通貨交易及對疑似洗錢或資恐交易之申報，其申報之相關紀錄憑證，應以原本方式至少保存5年。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對一定金額以上大額通貨交易及對疑似洗錢或資恐交易之申報，其申報之相關紀錄憑證，應以原本方式至少保存5年。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專責人員與主管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專責人員與主管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公司應依規模、風險等配置適足之防制洗錢及打擊資恐專責人員，且該等人員無與防制洗錢職責有利益衝突之兼職。</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公司應依規模、風險等配置適足之防制洗錢及打擊資恐專責人員，且該等人員無與防制洗錢職責有利益衝突之兼職。</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專責人員應符合相關資格條件，且每年至少參加內部或外部訓練單位所辦12小時防制洗錢及打擊資恐教育訓練。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專責人員應符合相關資格條件，且每年至少參加內部或外部訓練單位所辦12小時防制洗錢及打擊資恐教育訓練。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由董事會指派高階主管一名擔任專責主管，且該主管並無與防制洗錢職責有利益衝突之兼職，該專責主管至少每半年向董事會及監察人(或審計委員會)報告。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由董事會指派高階主管一名擔任專責主管，且該主管並無與防制洗錢職責有利益衝突之兼職，該專責主管至少每半年向董事會及監察人(或審計委員會)報告。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專責主管符合相關資格條件，且每年至少參加內部或外部訓練單位所辦12 小時防制洗錢及打擊資恐教育訓練。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專責主管符合相關資格條件，且每年至少參加內部或外部訓練單位所辦12 小時防制洗錢及打擊資恐教育訓練。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防制洗錢及打擊資恐作業，應遵循「洗錢防制法」、「資恐防制法」、「金融機構防制洗錢辦法」、「證券期貨業及其他經金融監督管理委員會指定之金融機構防制洗錢及打擊資恐內部控制與稽核制度實施辦法」、「中華民國證券商業同業公會證券商防制洗錢及打擊資恐注意事項範本」、「國際證券業務分公司管理辦法」、主管機關相關函令，暨證交所、櫃買中心及集保公司相關章則、辦法、公告、函示等規定；另公司亦應依自訂之洗錢及風險評估相關政策及程序，暨防制洗錢及打擊資恐計畫等規定辦理。</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防制洗錢及打擊資恐作業，應遵循「洗錢防制法」、「資恐防制法」、「金融機構防制洗錢辦法」、「證券期貨業及其他經金融監督管理委員會指定之金融機構防制洗錢及打擊資恐內部控制與稽核制度實施辦法」、「中華民國證券商業同業公會證券商防制洗錢及打擊資恐注意事項範本」、「國際證券業務分公司管理辦法」、主管機關相關函令，暨證交所、櫃買中心及集保公司相關章則、辦法、公告、函示等規定；另公司亦應依自訂之洗錢及風險評估相關政策及程序，暨防制洗錢及打擊資恐計畫等規定辦理。</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